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3CC2" w14:textId="77777777" w:rsidR="008A1C15" w:rsidRPr="008A1C15" w:rsidRDefault="008A1C15" w:rsidP="008A1C15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8A1C15">
        <w:rPr>
          <w:rFonts w:ascii="Times New Roman" w:hAnsi="Times New Roman" w:cs="Times New Roman"/>
          <w:b/>
          <w:szCs w:val="24"/>
        </w:rPr>
        <w:t xml:space="preserve">CAUSE NUMBER: </w:t>
      </w:r>
      <w:r w:rsidRPr="008A1C15">
        <w:rPr>
          <w:rFonts w:ascii="Times New Roman" w:hAnsi="Times New Roman" w:cs="Times New Roman"/>
          <w:b/>
          <w:color w:val="FF0000"/>
          <w:szCs w:val="24"/>
        </w:rPr>
        <w:t>xxx-</w:t>
      </w:r>
      <w:proofErr w:type="spellStart"/>
      <w:r w:rsidRPr="008A1C15">
        <w:rPr>
          <w:rFonts w:ascii="Times New Roman" w:hAnsi="Times New Roman" w:cs="Times New Roman"/>
          <w:b/>
          <w:color w:val="FF0000"/>
          <w:szCs w:val="24"/>
        </w:rPr>
        <w:t>xxxxxx</w:t>
      </w:r>
      <w:proofErr w:type="spellEnd"/>
      <w:r w:rsidRPr="008A1C15">
        <w:rPr>
          <w:rFonts w:ascii="Times New Roman" w:hAnsi="Times New Roman" w:cs="Times New Roman"/>
          <w:b/>
          <w:color w:val="FF0000"/>
          <w:szCs w:val="24"/>
        </w:rPr>
        <w:t>-xx</w:t>
      </w:r>
    </w:p>
    <w:p w14:paraId="3FC50330" w14:textId="3473A330" w:rsidR="00873B75" w:rsidRPr="008A1C15" w:rsidRDefault="008A1C15" w:rsidP="008A1C1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1C15">
        <w:rPr>
          <w:rFonts w:ascii="Times New Roman" w:hAnsi="Times New Roman" w:cs="Times New Roman"/>
          <w:b/>
          <w:szCs w:val="24"/>
        </w:rPr>
        <w:t xml:space="preserve">OAG Number: </w:t>
      </w:r>
      <w:proofErr w:type="spellStart"/>
      <w:r w:rsidRPr="008A1C15">
        <w:rPr>
          <w:rFonts w:ascii="Times New Roman" w:hAnsi="Times New Roman" w:cs="Times New Roman"/>
          <w:b/>
          <w:color w:val="FF0000"/>
          <w:szCs w:val="24"/>
        </w:rPr>
        <w:t>xxxxxxxxxx</w:t>
      </w:r>
      <w:proofErr w:type="spellEnd"/>
      <w:r w:rsidRPr="008A1C15">
        <w:rPr>
          <w:rFonts w:ascii="Times New Roman" w:hAnsi="Times New Roman" w:cs="Times New Roman"/>
          <w:b/>
          <w:color w:val="FF0000"/>
          <w:szCs w:val="24"/>
        </w:rPr>
        <w:t xml:space="preserve"> (may not have one of these)</w:t>
      </w:r>
    </w:p>
    <w:p w14:paraId="0418140B" w14:textId="77777777" w:rsidR="00873B75" w:rsidRPr="00F10109" w:rsidRDefault="00873B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9"/>
        <w:gridCol w:w="236"/>
        <w:gridCol w:w="4285"/>
      </w:tblGrid>
      <w:tr w:rsidR="00873B75" w:rsidRPr="00F10109" w14:paraId="302177CE" w14:textId="77777777" w:rsidTr="00684557">
        <w:tc>
          <w:tcPr>
            <w:tcW w:w="4559" w:type="dxa"/>
          </w:tcPr>
          <w:p w14:paraId="2AC5A80A" w14:textId="77777777" w:rsidR="00B00392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0109">
              <w:rPr>
                <w:rFonts w:ascii="Times New Roman" w:hAnsi="Times New Roman"/>
                <w:sz w:val="24"/>
                <w:szCs w:val="24"/>
              </w:rPr>
              <w:t xml:space="preserve">IN THE MATTER OF </w:t>
            </w:r>
          </w:p>
          <w:p w14:paraId="7BCC4A64" w14:textId="77777777" w:rsidR="00F10109" w:rsidRPr="00F10109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0109">
              <w:rPr>
                <w:rFonts w:ascii="Times New Roman" w:hAnsi="Times New Roman"/>
                <w:sz w:val="24"/>
                <w:szCs w:val="24"/>
              </w:rPr>
              <w:t>THE MARRIAGE OF</w:t>
            </w:r>
          </w:p>
          <w:p w14:paraId="674ED876" w14:textId="77777777" w:rsidR="00F10109" w:rsidRPr="00F10109" w:rsidRDefault="00F10109" w:rsidP="00F1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03B4" w14:textId="3B035A0E" w:rsidR="00F10109" w:rsidRPr="008A1C15" w:rsidRDefault="008463EC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1C15">
              <w:rPr>
                <w:rFonts w:ascii="Times New Roman" w:hAnsi="Times New Roman"/>
                <w:color w:val="FF0000"/>
                <w:sz w:val="24"/>
                <w:szCs w:val="24"/>
              </w:rPr>
              <w:t>XXXXXX</w:t>
            </w:r>
            <w:proofErr w:type="spellEnd"/>
          </w:p>
          <w:p w14:paraId="7841EC40" w14:textId="77777777" w:rsidR="00F10109" w:rsidRPr="00F10109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0109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1411479E" w14:textId="3E4E0874" w:rsidR="00F10109" w:rsidRPr="008A1C15" w:rsidRDefault="008463EC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1C15">
              <w:rPr>
                <w:rFonts w:ascii="Times New Roman" w:hAnsi="Times New Roman"/>
                <w:color w:val="FF0000"/>
                <w:sz w:val="24"/>
                <w:szCs w:val="24"/>
              </w:rPr>
              <w:t>XXXXXX</w:t>
            </w:r>
            <w:proofErr w:type="spellEnd"/>
          </w:p>
          <w:p w14:paraId="75F52F51" w14:textId="77777777" w:rsidR="00F10109" w:rsidRPr="00F10109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A253C19" w14:textId="77777777" w:rsidR="00F10109" w:rsidRPr="00F10109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0109">
              <w:rPr>
                <w:rFonts w:ascii="Times New Roman" w:hAnsi="Times New Roman"/>
                <w:sz w:val="24"/>
                <w:szCs w:val="24"/>
              </w:rPr>
              <w:t>AND IN THE INTEREST OF</w:t>
            </w:r>
          </w:p>
          <w:p w14:paraId="617F66B8" w14:textId="135490FA" w:rsidR="00F10109" w:rsidRPr="008A1C15" w:rsidRDefault="008463EC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1C15">
              <w:rPr>
                <w:rFonts w:ascii="Times New Roman" w:hAnsi="Times New Roman"/>
                <w:color w:val="FF0000"/>
                <w:sz w:val="24"/>
                <w:szCs w:val="24"/>
              </w:rPr>
              <w:t>X.X.X</w:t>
            </w:r>
            <w:proofErr w:type="spellEnd"/>
            <w:r w:rsidRPr="008A1C1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6F94804D" w14:textId="77777777" w:rsidR="00F10109" w:rsidRPr="00F10109" w:rsidRDefault="00F10109" w:rsidP="00F10109">
            <w:pPr>
              <w:pStyle w:val="Heading1"/>
              <w:tabs>
                <w:tab w:val="center" w:pos="5220"/>
                <w:tab w:val="right" w:pos="10440"/>
              </w:tabs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0109">
              <w:rPr>
                <w:rFonts w:ascii="Times New Roman" w:hAnsi="Times New Roman"/>
                <w:sz w:val="24"/>
                <w:szCs w:val="24"/>
              </w:rPr>
              <w:t>A MINOR CHILD</w:t>
            </w:r>
          </w:p>
          <w:p w14:paraId="2F0AF38C" w14:textId="77777777" w:rsidR="00873B75" w:rsidRPr="00F10109" w:rsidRDefault="00873B75" w:rsidP="00F1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522E1926" w14:textId="77777777" w:rsidR="00873B75" w:rsidRPr="00F10109" w:rsidRDefault="00F10109" w:rsidP="003C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109">
              <w:rPr>
                <w:rFonts w:ascii="Times New Roman" w:hAnsi="Times New Roman" w:cs="Times New Roman"/>
                <w:szCs w:val="24"/>
              </w:rPr>
              <w:t>§§§§§§§§§§§</w:t>
            </w:r>
          </w:p>
        </w:tc>
        <w:tc>
          <w:tcPr>
            <w:tcW w:w="4285" w:type="dxa"/>
          </w:tcPr>
          <w:p w14:paraId="4D87B819" w14:textId="77777777" w:rsidR="00F10109" w:rsidRPr="00B00392" w:rsidRDefault="00F10109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THE DISTRICT COURT</w:t>
            </w:r>
          </w:p>
          <w:p w14:paraId="6AAE6322" w14:textId="77777777" w:rsidR="00F10109" w:rsidRDefault="00F10109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DF734" w14:textId="77777777" w:rsidR="00B00392" w:rsidRDefault="00B00392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15649" w14:textId="77777777" w:rsidR="00B00392" w:rsidRPr="00B00392" w:rsidRDefault="00B00392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82AE6" w14:textId="77777777" w:rsidR="00F10109" w:rsidRPr="00B00392" w:rsidRDefault="00F10109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12A779" w14:textId="6B26807B" w:rsidR="00F10109" w:rsidRPr="00B00392" w:rsidRDefault="00751FEA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COURT</w:t>
            </w:r>
            <w:bookmarkStart w:id="0" w:name="_GoBack"/>
            <w:bookmarkEnd w:id="0"/>
            <w:r w:rsidR="00F10109" w:rsidRPr="008A1C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F10109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JUDICIAL DISTRICT</w:t>
            </w:r>
          </w:p>
          <w:p w14:paraId="5EAFB8C7" w14:textId="77777777" w:rsidR="00F10109" w:rsidRDefault="00F10109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092BF" w14:textId="77777777" w:rsidR="00B00392" w:rsidRPr="00B00392" w:rsidRDefault="00B00392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A64CE" w14:textId="77777777" w:rsidR="00F10109" w:rsidRPr="00B00392" w:rsidRDefault="00F10109" w:rsidP="00F101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A0E41" w14:textId="1C9D909A" w:rsidR="00873B75" w:rsidRPr="00B00392" w:rsidRDefault="008463EC" w:rsidP="00B003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[COUNTY NAME]</w:t>
            </w:r>
            <w:r w:rsidR="00F10109" w:rsidRPr="008463E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10109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</w:t>
            </w:r>
            <w:r w:rsidR="00873B75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</w:t>
            </w:r>
            <w:r w:rsidR="00F10109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73B75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F10109" w:rsidRPr="00B0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</w:tbl>
    <w:p w14:paraId="0EFDE96A" w14:textId="77777777" w:rsidR="00873B75" w:rsidRPr="00F10109" w:rsidRDefault="00873B75">
      <w:pPr>
        <w:rPr>
          <w:rFonts w:ascii="Times New Roman" w:hAnsi="Times New Roman" w:cs="Times New Roman"/>
          <w:sz w:val="28"/>
          <w:szCs w:val="28"/>
        </w:rPr>
      </w:pPr>
    </w:p>
    <w:p w14:paraId="234C29C3" w14:textId="77777777" w:rsidR="008463EC" w:rsidRDefault="008463EC" w:rsidP="008463EC">
      <w:pPr>
        <w:pStyle w:val="Heading1"/>
      </w:pPr>
      <w:r>
        <w:t xml:space="preserve">Notice of Special </w:t>
      </w:r>
      <w:r w:rsidRPr="009B4CA2">
        <w:rPr>
          <w:i/>
        </w:rPr>
        <w:t>Pro Se</w:t>
      </w:r>
      <w:r>
        <w:t xml:space="preserve"> Litigant Rights</w:t>
      </w:r>
    </w:p>
    <w:p w14:paraId="3BEAE10D" w14:textId="77777777" w:rsidR="008463EC" w:rsidRPr="00006B52" w:rsidRDefault="008463EC" w:rsidP="008463EC">
      <w:pPr>
        <w:rPr>
          <w:sz w:val="32"/>
          <w:szCs w:val="32"/>
        </w:rPr>
      </w:pPr>
    </w:p>
    <w:p w14:paraId="3CC886F1" w14:textId="7757C2C3" w:rsidR="008463EC" w:rsidRDefault="008463EC" w:rsidP="008463EC">
      <w:pPr>
        <w:pStyle w:val="BodyTextIndent"/>
      </w:pPr>
      <w:bookmarkStart w:id="1" w:name="OLE_LINK41"/>
      <w:bookmarkStart w:id="2" w:name="OLE_LINK42"/>
      <w:r>
        <w:t>Comes now</w:t>
      </w:r>
      <w:bookmarkEnd w:id="1"/>
      <w:bookmarkEnd w:id="2"/>
      <w:r>
        <w:t xml:space="preserve"> </w:t>
      </w:r>
      <w:r>
        <w:rPr>
          <w:color w:val="FF0000"/>
        </w:rPr>
        <w:t>[YOUR NAME]</w:t>
      </w:r>
      <w:r>
        <w:t xml:space="preserve">, Pro Se, respectfully providing a relatively tiny sample of federal case law regarding certain special respect to and for </w:t>
      </w:r>
      <w:r w:rsidR="008A1C15">
        <w:rPr>
          <w:i/>
        </w:rPr>
        <w:t xml:space="preserve">Pro Se </w:t>
      </w:r>
      <w:r w:rsidR="008A1C15">
        <w:rPr>
          <w:iCs/>
        </w:rPr>
        <w:t xml:space="preserve">litigants and their protected </w:t>
      </w:r>
      <w:r>
        <w:t>rights:</w:t>
      </w:r>
    </w:p>
    <w:p w14:paraId="73ED8F82" w14:textId="77777777" w:rsidR="008463EC" w:rsidRDefault="008463EC" w:rsidP="008463EC">
      <w:pPr>
        <w:pStyle w:val="BodyTextIndent"/>
        <w:spacing w:line="240" w:lineRule="auto"/>
        <w:ind w:firstLine="0"/>
      </w:pPr>
    </w:p>
    <w:p w14:paraId="7BA764C3" w14:textId="77777777" w:rsidR="008463EC" w:rsidRDefault="008463EC" w:rsidP="008463EC">
      <w:pPr>
        <w:pStyle w:val="BodyTextIndent"/>
      </w:pPr>
      <w:r w:rsidRPr="002B337B">
        <w:rPr>
          <w:i/>
        </w:rPr>
        <w:t>Pro se</w:t>
      </w:r>
      <w:r>
        <w:t xml:space="preserve"> pleadings are always to be construed liberally and expansively, affording them all opportunity in obtaining substance of justice, over technicality of form.  </w:t>
      </w:r>
      <w:r w:rsidRPr="006F60B2">
        <w:rPr>
          <w:i/>
          <w:u w:val="single"/>
        </w:rPr>
        <w:t xml:space="preserve">Maty v. </w:t>
      </w:r>
      <w:proofErr w:type="spellStart"/>
      <w:r w:rsidRPr="006F60B2">
        <w:rPr>
          <w:i/>
          <w:u w:val="single"/>
        </w:rPr>
        <w:t>Grasselli</w:t>
      </w:r>
      <w:proofErr w:type="spellEnd"/>
      <w:r w:rsidRPr="006F60B2">
        <w:rPr>
          <w:i/>
          <w:u w:val="single"/>
        </w:rPr>
        <w:t xml:space="preserve"> Chemical Co.</w:t>
      </w:r>
      <w:r>
        <w:t xml:space="preserve">, 303 U.S. 197 (1938); </w:t>
      </w:r>
      <w:r w:rsidRPr="006F60B2">
        <w:rPr>
          <w:i/>
          <w:u w:val="single"/>
        </w:rPr>
        <w:t>Picking v. Pennsylvania Railroad Co.</w:t>
      </w:r>
      <w:r>
        <w:t xml:space="preserve">, 151 </w:t>
      </w:r>
      <w:proofErr w:type="spellStart"/>
      <w:r>
        <w:t>F.2d</w:t>
      </w:r>
      <w:proofErr w:type="spellEnd"/>
      <w:r>
        <w:t xml:space="preserve"> 240 (3rd Cir. 1945); </w:t>
      </w:r>
      <w:r w:rsidRPr="006F60B2">
        <w:rPr>
          <w:i/>
          <w:u w:val="single"/>
        </w:rPr>
        <w:t>Jenkins v. McKeithen</w:t>
      </w:r>
      <w:r>
        <w:t xml:space="preserve">, 395 U.S. 411, 421 (1959); </w:t>
      </w:r>
      <w:r w:rsidRPr="006F60B2">
        <w:rPr>
          <w:i/>
          <w:u w:val="single"/>
        </w:rPr>
        <w:t>Haines v. Kerner</w:t>
      </w:r>
      <w:r>
        <w:t xml:space="preserve">, 404 U.S. 519, 520-21, 92 </w:t>
      </w:r>
      <w:proofErr w:type="spellStart"/>
      <w:r>
        <w:t>S.Ct</w:t>
      </w:r>
      <w:proofErr w:type="spellEnd"/>
      <w:r>
        <w:t xml:space="preserve">. 594, 596, 30 </w:t>
      </w:r>
      <w:proofErr w:type="spellStart"/>
      <w:r>
        <w:t>L.Ed.2d</w:t>
      </w:r>
      <w:proofErr w:type="spellEnd"/>
      <w:r>
        <w:t xml:space="preserve"> 652 (1972); </w:t>
      </w:r>
      <w:r w:rsidRPr="006F60B2">
        <w:rPr>
          <w:i/>
          <w:u w:val="single"/>
        </w:rPr>
        <w:t>Cruz v. Beto</w:t>
      </w:r>
      <w:r>
        <w:t xml:space="preserve">, 405 U.S. 319, 322, 92 </w:t>
      </w:r>
      <w:proofErr w:type="spellStart"/>
      <w:r>
        <w:t>S.Ct</w:t>
      </w:r>
      <w:proofErr w:type="spellEnd"/>
      <w:r>
        <w:t xml:space="preserve">. 1079, 1081, 31 </w:t>
      </w:r>
      <w:proofErr w:type="spellStart"/>
      <w:r>
        <w:t>L.Ed.2d</w:t>
      </w:r>
      <w:proofErr w:type="spellEnd"/>
      <w:r>
        <w:t xml:space="preserve"> 263 (1972); </w:t>
      </w:r>
      <w:r w:rsidRPr="006F60B2">
        <w:rPr>
          <w:i/>
          <w:u w:val="single"/>
        </w:rPr>
        <w:t>Puckett v. Cox</w:t>
      </w:r>
      <w:r>
        <w:t xml:space="preserve">, 456 F. </w:t>
      </w:r>
      <w:proofErr w:type="spellStart"/>
      <w:r>
        <w:t>2d</w:t>
      </w:r>
      <w:proofErr w:type="spellEnd"/>
      <w:r>
        <w:t xml:space="preserve"> 233 (6th Cir. 1972); and, etc., etc., etc., practically </w:t>
      </w:r>
      <w:r w:rsidRPr="006F60B2">
        <w:rPr>
          <w:i/>
        </w:rPr>
        <w:t>ad infinitum</w:t>
      </w:r>
      <w:r>
        <w:t>.</w:t>
      </w:r>
    </w:p>
    <w:p w14:paraId="5FD17477" w14:textId="77777777" w:rsidR="008463EC" w:rsidRDefault="008463EC" w:rsidP="008463EC">
      <w:pPr>
        <w:pStyle w:val="BodyTextIndent"/>
      </w:pPr>
      <w:r>
        <w:t xml:space="preserve">If the court can reasonably read the submissions, it should do so despite failure to cite proper legal authority, confusion of legal theories, poor syntax or sentence construction, or a litigant’s unfamiliarity with particular rule requirements.  </w:t>
      </w:r>
      <w:r w:rsidRPr="006F60B2">
        <w:rPr>
          <w:i/>
          <w:u w:val="single"/>
        </w:rPr>
        <w:t>Boag v. MacDougall</w:t>
      </w:r>
      <w:r>
        <w:t xml:space="preserve">, 454 U.S. 364, 102 </w:t>
      </w:r>
      <w:proofErr w:type="spellStart"/>
      <w:r>
        <w:t>S.Ct</w:t>
      </w:r>
      <w:proofErr w:type="spellEnd"/>
      <w:r>
        <w:t xml:space="preserve">. </w:t>
      </w:r>
      <w:r>
        <w:lastRenderedPageBreak/>
        <w:t xml:space="preserve">700, 70 </w:t>
      </w:r>
      <w:proofErr w:type="spellStart"/>
      <w:r>
        <w:t>L.Ed.2d</w:t>
      </w:r>
      <w:proofErr w:type="spellEnd"/>
      <w:r>
        <w:t xml:space="preserve"> 551 (1982); </w:t>
      </w:r>
      <w:r w:rsidRPr="006F60B2">
        <w:rPr>
          <w:i/>
          <w:u w:val="single"/>
        </w:rPr>
        <w:t>Estelle v. Gamble</w:t>
      </w:r>
      <w:r>
        <w:t xml:space="preserve">, 429 U.S. 97, 106, 97 </w:t>
      </w:r>
      <w:proofErr w:type="spellStart"/>
      <w:r>
        <w:t>S.Ct</w:t>
      </w:r>
      <w:proofErr w:type="spellEnd"/>
      <w:r>
        <w:t xml:space="preserve">. 285, 50 </w:t>
      </w:r>
      <w:proofErr w:type="spellStart"/>
      <w:r>
        <w:t>L.Ed.2d</w:t>
      </w:r>
      <w:proofErr w:type="spellEnd"/>
      <w:r>
        <w:t xml:space="preserve"> 251 (1976) (quoting </w:t>
      </w:r>
      <w:r w:rsidRPr="002B337B">
        <w:rPr>
          <w:i/>
          <w:u w:val="single"/>
        </w:rPr>
        <w:t>Conley v. Gibson</w:t>
      </w:r>
      <w:r>
        <w:t xml:space="preserve">, 355 U.S. 41, 45-46, 78 </w:t>
      </w:r>
      <w:proofErr w:type="spellStart"/>
      <w:r>
        <w:t>S.Ct</w:t>
      </w:r>
      <w:proofErr w:type="spellEnd"/>
      <w:r>
        <w:t xml:space="preserve">. 99, 2 </w:t>
      </w:r>
      <w:proofErr w:type="spellStart"/>
      <w:r>
        <w:t>L.Ed.2d</w:t>
      </w:r>
      <w:proofErr w:type="spellEnd"/>
      <w:r>
        <w:t xml:space="preserve"> 80 (1957)); </w:t>
      </w:r>
      <w:r w:rsidRPr="002B337B">
        <w:rPr>
          <w:i/>
          <w:u w:val="single"/>
        </w:rPr>
        <w:t>Haines v. Kerner</w:t>
      </w:r>
      <w:r>
        <w:t xml:space="preserve">, 404 U.S. 519, 92 </w:t>
      </w:r>
      <w:proofErr w:type="spellStart"/>
      <w:r>
        <w:t>S.Ct</w:t>
      </w:r>
      <w:proofErr w:type="spellEnd"/>
      <w:r>
        <w:t xml:space="preserve">. 594, 30 </w:t>
      </w:r>
      <w:proofErr w:type="spellStart"/>
      <w:r>
        <w:t>L.Ed.2d</w:t>
      </w:r>
      <w:proofErr w:type="spellEnd"/>
      <w:r>
        <w:t xml:space="preserve"> 652 (1972); </w:t>
      </w:r>
      <w:r w:rsidRPr="002B337B">
        <w:rPr>
          <w:i/>
          <w:u w:val="single"/>
        </w:rPr>
        <w:t>McDowell v. Delaware State Police</w:t>
      </w:r>
      <w:r>
        <w:t xml:space="preserve">, 88 </w:t>
      </w:r>
      <w:proofErr w:type="spellStart"/>
      <w:r>
        <w:t>F.3d</w:t>
      </w:r>
      <w:proofErr w:type="spellEnd"/>
      <w:r>
        <w:t xml:space="preserve"> 188, 189 (3rd Cir. 1996); </w:t>
      </w:r>
      <w:r w:rsidRPr="002B337B">
        <w:rPr>
          <w:i/>
          <w:u w:val="single"/>
        </w:rPr>
        <w:t>United States v. Day</w:t>
      </w:r>
      <w:r>
        <w:t xml:space="preserve">, 969 </w:t>
      </w:r>
      <w:proofErr w:type="spellStart"/>
      <w:r>
        <w:t>F.2d</w:t>
      </w:r>
      <w:proofErr w:type="spellEnd"/>
      <w:r>
        <w:t xml:space="preserve"> 39, 42 (3rd Cir. 1992); </w:t>
      </w:r>
      <w:r w:rsidRPr="002B337B">
        <w:rPr>
          <w:i/>
          <w:u w:val="single"/>
        </w:rPr>
        <w:t xml:space="preserve">Then v. </w:t>
      </w:r>
      <w:proofErr w:type="spellStart"/>
      <w:r w:rsidRPr="002B337B">
        <w:rPr>
          <w:i/>
          <w:u w:val="single"/>
        </w:rPr>
        <w:t>I.N.S</w:t>
      </w:r>
      <w:proofErr w:type="spellEnd"/>
      <w:r w:rsidRPr="002B337B">
        <w:rPr>
          <w:i/>
          <w:u w:val="single"/>
        </w:rPr>
        <w:t>.</w:t>
      </w:r>
      <w:r>
        <w:t xml:space="preserve">, 58 </w:t>
      </w:r>
      <w:proofErr w:type="spellStart"/>
      <w:r>
        <w:t>F.Supp.2d</w:t>
      </w:r>
      <w:proofErr w:type="spellEnd"/>
      <w:r>
        <w:t xml:space="preserve"> 422, 429 (</w:t>
      </w:r>
      <w:proofErr w:type="spellStart"/>
      <w:r>
        <w:t>D.N.J</w:t>
      </w:r>
      <w:proofErr w:type="spellEnd"/>
      <w:r>
        <w:t>. 1999); and, etc., along with numerous similar rulings.</w:t>
      </w:r>
    </w:p>
    <w:p w14:paraId="016DDB2A" w14:textId="77777777" w:rsidR="008463EC" w:rsidRDefault="008463EC" w:rsidP="008463EC">
      <w:pPr>
        <w:pStyle w:val="BodyTextIndent"/>
      </w:pPr>
      <w:r>
        <w:t xml:space="preserve">When interpreting </w:t>
      </w:r>
      <w:r w:rsidRPr="002B337B">
        <w:rPr>
          <w:i/>
        </w:rPr>
        <w:t>pro se</w:t>
      </w:r>
      <w:r>
        <w:t xml:space="preserve"> papers, this Court is required to use its own common sense to determine what relief that party either desires, or is otherwise entitled to.  </w:t>
      </w:r>
      <w:r w:rsidRPr="002B337B">
        <w:rPr>
          <w:i/>
          <w:u w:val="single"/>
        </w:rPr>
        <w:t>S.E.C. v. Elliott</w:t>
      </w:r>
      <w:r>
        <w:t xml:space="preserve">, 953 </w:t>
      </w:r>
      <w:proofErr w:type="spellStart"/>
      <w:r>
        <w:t>F.2d</w:t>
      </w:r>
      <w:proofErr w:type="spellEnd"/>
      <w:r>
        <w:t xml:space="preserve"> 1560, 1582 (11th Cir. 1992).  </w:t>
      </w:r>
      <w:r w:rsidRPr="002B337B">
        <w:rPr>
          <w:i/>
        </w:rPr>
        <w:t>See</w:t>
      </w:r>
      <w:r>
        <w:t xml:space="preserve"> also, </w:t>
      </w:r>
      <w:r w:rsidRPr="002B337B">
        <w:rPr>
          <w:i/>
          <w:u w:val="single"/>
        </w:rPr>
        <w:t>United States v. Miller</w:t>
      </w:r>
      <w:r>
        <w:t xml:space="preserve">, 197 </w:t>
      </w:r>
      <w:proofErr w:type="spellStart"/>
      <w:r>
        <w:t>F.3d</w:t>
      </w:r>
      <w:proofErr w:type="spellEnd"/>
      <w:r>
        <w:t xml:space="preserve"> 644, 648 (3rd Cir. 1999) (court has a special obligation to construe </w:t>
      </w:r>
      <w:r w:rsidRPr="002B337B">
        <w:rPr>
          <w:i/>
        </w:rPr>
        <w:t>pro se</w:t>
      </w:r>
      <w:r>
        <w:t xml:space="preserve"> litigants’ pleadings liberally); </w:t>
      </w:r>
      <w:r w:rsidRPr="002B337B">
        <w:rPr>
          <w:i/>
          <w:u w:val="single"/>
        </w:rPr>
        <w:t>Poling v. K. Hovnanian Enterprises</w:t>
      </w:r>
      <w:r>
        <w:t xml:space="preserve">, 99 </w:t>
      </w:r>
      <w:proofErr w:type="spellStart"/>
      <w:r>
        <w:t>F.Supp.2d</w:t>
      </w:r>
      <w:proofErr w:type="spellEnd"/>
      <w:r>
        <w:t xml:space="preserve"> 502, 506-07 (</w:t>
      </w:r>
      <w:proofErr w:type="spellStart"/>
      <w:r>
        <w:t>D.N.J</w:t>
      </w:r>
      <w:proofErr w:type="spellEnd"/>
      <w:r>
        <w:t>. 2000); and, etc.</w:t>
      </w:r>
    </w:p>
    <w:p w14:paraId="6E7D9D3E" w14:textId="77777777" w:rsidR="008463EC" w:rsidRDefault="008463EC" w:rsidP="008463EC">
      <w:pPr>
        <w:pStyle w:val="BodyTextIndent"/>
      </w:pPr>
      <w:r>
        <w:t xml:space="preserve">Indeed, the courts will even go to particular pains to </w:t>
      </w:r>
      <w:r w:rsidRPr="00125F41">
        <w:rPr>
          <w:b/>
        </w:rPr>
        <w:t>protect</w:t>
      </w:r>
      <w:r>
        <w:t xml:space="preserve"> </w:t>
      </w:r>
      <w:r w:rsidRPr="002B337B">
        <w:rPr>
          <w:i/>
        </w:rPr>
        <w:t>pro se</w:t>
      </w:r>
      <w:r>
        <w:t xml:space="preserve"> litigants against consequences of technical errors if injustice would otherwise result.  </w:t>
      </w:r>
      <w:smartTag w:uri="urn:schemas-microsoft-com:office:smarttags" w:element="place">
        <w:smartTag w:uri="urn:schemas-microsoft-com:office:smarttags" w:element="country-region">
          <w:r w:rsidRPr="002B337B">
            <w:rPr>
              <w:i/>
              <w:u w:val="single"/>
            </w:rPr>
            <w:t>U.S.</w:t>
          </w:r>
        </w:smartTag>
      </w:smartTag>
      <w:r w:rsidRPr="002B337B">
        <w:rPr>
          <w:i/>
          <w:u w:val="single"/>
        </w:rPr>
        <w:t xml:space="preserve"> v. Sanchez</w:t>
      </w:r>
      <w:r>
        <w:t xml:space="preserve">, 88 </w:t>
      </w:r>
      <w:proofErr w:type="spellStart"/>
      <w:r>
        <w:t>F.3d</w:t>
      </w:r>
      <w:proofErr w:type="spellEnd"/>
      <w:r>
        <w:t xml:space="preserve"> 1243 (</w:t>
      </w:r>
      <w:proofErr w:type="spellStart"/>
      <w:r>
        <w:t>D.C.Cir</w:t>
      </w:r>
      <w:proofErr w:type="spellEnd"/>
      <w:r>
        <w:t>. 1996).  Moreover, “</w:t>
      </w:r>
      <w:r w:rsidRPr="002B337B">
        <w:rPr>
          <w:i/>
        </w:rPr>
        <w:t>the court is under a duty to examine the complaint to determine if the allegations provide for relief on *</w:t>
      </w:r>
      <w:r w:rsidRPr="002B337B">
        <w:rPr>
          <w:b/>
          <w:i/>
        </w:rPr>
        <w:t>any</w:t>
      </w:r>
      <w:r w:rsidRPr="002B337B">
        <w:rPr>
          <w:i/>
        </w:rPr>
        <w:t>* possible theory</w:t>
      </w:r>
      <w:r>
        <w:t>.” (</w:t>
      </w:r>
      <w:proofErr w:type="gramStart"/>
      <w:r>
        <w:t>emphasis</w:t>
      </w:r>
      <w:proofErr w:type="gramEnd"/>
      <w:r>
        <w:t xml:space="preserve"> added)  </w:t>
      </w:r>
      <w:r w:rsidRPr="002B337B">
        <w:rPr>
          <w:i/>
        </w:rPr>
        <w:t>See</w:t>
      </w:r>
      <w:r>
        <w:t xml:space="preserve">, e.g., </w:t>
      </w:r>
      <w:r w:rsidRPr="002B337B">
        <w:rPr>
          <w:i/>
          <w:u w:val="single"/>
        </w:rPr>
        <w:t>Bonner v. Circuit Court of St. Louis</w:t>
      </w:r>
      <w:r>
        <w:t xml:space="preserve">, 526 </w:t>
      </w:r>
      <w:proofErr w:type="spellStart"/>
      <w:r>
        <w:t>F.2d</w:t>
      </w:r>
      <w:proofErr w:type="spellEnd"/>
      <w:r>
        <w:t xml:space="preserve"> 1331, 1334 (8th Cir. 1975) (quoting </w:t>
      </w:r>
      <w:r w:rsidRPr="002B337B">
        <w:rPr>
          <w:i/>
          <w:u w:val="single"/>
        </w:rPr>
        <w:t>Bramlet v. Wilson</w:t>
      </w:r>
      <w:r>
        <w:t xml:space="preserve">, 495 </w:t>
      </w:r>
      <w:proofErr w:type="spellStart"/>
      <w:r>
        <w:t>F.2d</w:t>
      </w:r>
      <w:proofErr w:type="spellEnd"/>
      <w:r>
        <w:t xml:space="preserve"> 714, 716 (8th Cir. 1974)), and etc.</w:t>
      </w:r>
    </w:p>
    <w:p w14:paraId="02BF9863" w14:textId="77777777" w:rsidR="000F2D83" w:rsidRPr="00F10109" w:rsidRDefault="000F2D83" w:rsidP="000F2D83">
      <w:pPr>
        <w:rPr>
          <w:rFonts w:ascii="Times New Roman" w:hAnsi="Times New Roman" w:cs="Times New Roman"/>
          <w:sz w:val="24"/>
          <w:szCs w:val="24"/>
        </w:rPr>
      </w:pPr>
    </w:p>
    <w:p w14:paraId="0B45C9FC" w14:textId="77777777" w:rsidR="000F2D83" w:rsidRPr="00F10109" w:rsidRDefault="000F2D83" w:rsidP="000F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</w:r>
      <w:r w:rsidRPr="00F10109">
        <w:rPr>
          <w:rFonts w:ascii="Times New Roman" w:eastAsia="Times New Roman" w:hAnsi="Times New Roman" w:cs="Times New Roman"/>
          <w:sz w:val="28"/>
        </w:rPr>
        <w:tab/>
        <w:t>Respectfully submitted,</w:t>
      </w:r>
    </w:p>
    <w:p w14:paraId="0F628EFC" w14:textId="77777777" w:rsidR="000F2D83" w:rsidRPr="00F10109" w:rsidRDefault="000F2D83" w:rsidP="000F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2D5007" w14:textId="77777777" w:rsidR="008463EC" w:rsidRPr="005D68A6" w:rsidRDefault="008463EC" w:rsidP="008463EC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_____________________________</w:t>
      </w:r>
      <w:r w:rsidRPr="005D68A6">
        <w:rPr>
          <w:rFonts w:ascii="Verdana" w:eastAsia="Times New Roman" w:hAnsi="Verdana" w:cs="Times New Roman"/>
          <w:sz w:val="20"/>
          <w:szCs w:val="20"/>
          <w:u w:val="single"/>
        </w:rPr>
        <w:t>_____</w:t>
      </w:r>
    </w:p>
    <w:p w14:paraId="2F640751" w14:textId="31E1545D" w:rsidR="008463EC" w:rsidRDefault="008463EC" w:rsidP="008463EC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p w14:paraId="2B79820C" w14:textId="77777777" w:rsidR="008463EC" w:rsidRPr="008A1C15" w:rsidRDefault="008463EC" w:rsidP="008463EC">
      <w:pPr>
        <w:spacing w:after="0"/>
        <w:jc w:val="right"/>
        <w:rPr>
          <w:rFonts w:ascii="Verdana" w:eastAsia="Calibri" w:hAnsi="Verdana" w:cs="Times New Roman"/>
          <w:color w:val="FF0000"/>
          <w:sz w:val="20"/>
          <w:szCs w:val="20"/>
        </w:rPr>
      </w:pPr>
      <w:r w:rsidRPr="008A1C15">
        <w:rPr>
          <w:rFonts w:ascii="Verdana" w:eastAsia="Calibri" w:hAnsi="Verdana" w:cs="Times New Roman"/>
          <w:color w:val="FF0000"/>
          <w:sz w:val="20"/>
          <w:szCs w:val="20"/>
        </w:rPr>
        <w:t>ADDRESS</w:t>
      </w:r>
    </w:p>
    <w:p w14:paraId="6F7ED51B" w14:textId="77777777" w:rsidR="008463EC" w:rsidRPr="008A1C15" w:rsidRDefault="008463EC" w:rsidP="008463EC">
      <w:pPr>
        <w:spacing w:after="0"/>
        <w:jc w:val="right"/>
        <w:rPr>
          <w:rFonts w:ascii="Verdana" w:eastAsia="Calibri" w:hAnsi="Verdana" w:cs="Times New Roman"/>
          <w:color w:val="FF0000"/>
          <w:sz w:val="20"/>
          <w:szCs w:val="20"/>
        </w:rPr>
      </w:pPr>
      <w:r w:rsidRPr="008A1C15">
        <w:rPr>
          <w:rFonts w:ascii="Verdana" w:eastAsia="Calibri" w:hAnsi="Verdana" w:cs="Times New Roman"/>
          <w:color w:val="FF0000"/>
          <w:sz w:val="20"/>
          <w:szCs w:val="20"/>
        </w:rPr>
        <w:t>CONTACT INFO</w:t>
      </w:r>
    </w:p>
    <w:p w14:paraId="53141A20" w14:textId="77777777" w:rsidR="000F2D83" w:rsidRPr="00F10109" w:rsidRDefault="000F2D83" w:rsidP="000F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3B1E3F" w14:textId="77777777" w:rsidR="000F2D83" w:rsidRPr="00F10109" w:rsidRDefault="000F2D83" w:rsidP="000F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D88F69" w14:textId="533DB59D" w:rsidR="00B00392" w:rsidRDefault="00B00392" w:rsidP="00B0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C"/>
    <w:rsid w:val="000F2D83"/>
    <w:rsid w:val="00667866"/>
    <w:rsid w:val="00684557"/>
    <w:rsid w:val="00751FEA"/>
    <w:rsid w:val="0076045C"/>
    <w:rsid w:val="007F71F1"/>
    <w:rsid w:val="008463EC"/>
    <w:rsid w:val="00873B75"/>
    <w:rsid w:val="00887169"/>
    <w:rsid w:val="008A1C15"/>
    <w:rsid w:val="00B00392"/>
    <w:rsid w:val="00BD7CC7"/>
    <w:rsid w:val="00CD21DA"/>
    <w:rsid w:val="00E00609"/>
    <w:rsid w:val="00F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00B0E7"/>
  <w15:chartTrackingRefBased/>
  <w15:docId w15:val="{856E7561-522E-470B-BF22-59E68DB4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D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2D83"/>
    <w:rPr>
      <w:rFonts w:ascii="Arial" w:eastAsia="Times New Roman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8463EC"/>
    <w:pPr>
      <w:spacing w:after="0" w:line="480" w:lineRule="auto"/>
      <w:ind w:firstLine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63E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mtc\OneDrive\Custom%20Office%20Templates\State%20233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State 233rd Template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B. McKenzie</dc:creator>
  <cp:keywords/>
  <dc:description/>
  <cp:lastModifiedBy>Microsoft account</cp:lastModifiedBy>
  <cp:revision>4</cp:revision>
  <dcterms:created xsi:type="dcterms:W3CDTF">2024-10-13T19:33:00Z</dcterms:created>
  <dcterms:modified xsi:type="dcterms:W3CDTF">2025-01-04T19:35:00Z</dcterms:modified>
</cp:coreProperties>
</file>